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33" w:rsidRPr="00940C33" w:rsidRDefault="00A178ED" w:rsidP="00940C33">
      <w:pPr>
        <w:tabs>
          <w:tab w:val="left" w:pos="-709"/>
          <w:tab w:val="left" w:pos="6062"/>
        </w:tabs>
        <w:ind w:left="-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40C33" w:rsidRDefault="00940C33" w:rsidP="00940C33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</w:p>
    <w:p w:rsidR="006622DF" w:rsidRDefault="006622DF" w:rsidP="00940C33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4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Pr="00400962" w:rsidRDefault="006622DF" w:rsidP="006622DF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3E005C" w:rsidP="007A3AB7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  <w:r>
        <w:rPr>
          <w:sz w:val="28"/>
          <w:szCs w:val="28"/>
        </w:rPr>
        <w:t>11</w:t>
      </w:r>
      <w:r w:rsidR="007A3AB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A3AB7">
        <w:rPr>
          <w:sz w:val="28"/>
          <w:szCs w:val="28"/>
        </w:rPr>
        <w:t xml:space="preserve">.2015                                               </w:t>
      </w:r>
      <w:r w:rsidR="006622DF">
        <w:rPr>
          <w:sz w:val="28"/>
          <w:szCs w:val="28"/>
        </w:rPr>
        <w:t xml:space="preserve">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№</w:t>
      </w:r>
      <w:r>
        <w:rPr>
          <w:sz w:val="28"/>
          <w:szCs w:val="28"/>
        </w:rPr>
        <w:t xml:space="preserve"> 380</w:t>
      </w:r>
      <w:r w:rsidR="006622D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6622DF">
        <w:rPr>
          <w:sz w:val="28"/>
          <w:szCs w:val="28"/>
        </w:rPr>
        <w:t>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</w:t>
      </w:r>
      <w:r w:rsidR="0094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940C33" w:rsidRDefault="006622DF" w:rsidP="00940C33">
      <w:pPr>
        <w:ind w:left="-709"/>
        <w:rPr>
          <w:b/>
          <w:bCs/>
          <w:sz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  <w:r>
        <w:rPr>
          <w:b/>
          <w:bCs/>
          <w:sz w:val="28"/>
        </w:rPr>
        <w:t xml:space="preserve"> </w:t>
      </w:r>
    </w:p>
    <w:p w:rsidR="00940C33" w:rsidRDefault="006622DF" w:rsidP="00940C33">
      <w:pPr>
        <w:ind w:left="-709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622DF" w:rsidRDefault="006622DF" w:rsidP="00940C33">
      <w:pPr>
        <w:ind w:left="-709"/>
        <w:rPr>
          <w:sz w:val="28"/>
          <w:szCs w:val="28"/>
        </w:rPr>
      </w:pPr>
      <w:r>
        <w:rPr>
          <w:sz w:val="28"/>
          <w:szCs w:val="28"/>
        </w:rPr>
        <w:t>Песчанокопского  района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940C33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пожарной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безопасности </w:t>
      </w:r>
    </w:p>
    <w:p w:rsidR="006622DF" w:rsidRPr="00F00EA5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940C33" w:rsidRDefault="00940C33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3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 Песчанокопского сельского поселения Песчанокопского района»  и бюджетным</w:t>
      </w:r>
      <w:proofErr w:type="gramEnd"/>
      <w:r w:rsidR="006622DF" w:rsidRPr="000E6E7A">
        <w:rPr>
          <w:b w:val="0"/>
          <w:szCs w:val="28"/>
        </w:rPr>
        <w:t xml:space="preserve">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940C33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0C33" w:rsidRDefault="00940C33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6622DF" w:rsidRPr="00940C33" w:rsidRDefault="006622DF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  <w:r w:rsidRPr="00940C33">
        <w:rPr>
          <w:b/>
          <w:sz w:val="28"/>
          <w:szCs w:val="28"/>
        </w:rPr>
        <w:lastRenderedPageBreak/>
        <w:t>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proofErr w:type="gramStart"/>
      <w:r w:rsidR="00A178ED">
        <w:rPr>
          <w:b w:val="0"/>
        </w:rPr>
        <w:t>согласно приложения</w:t>
      </w:r>
      <w:proofErr w:type="gram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940C33" w:rsidRDefault="00F373DE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подписания.</w:t>
      </w:r>
      <w:r w:rsidR="006622DF">
        <w:rPr>
          <w:b w:val="0"/>
        </w:rPr>
        <w:t xml:space="preserve">        </w:t>
      </w:r>
    </w:p>
    <w:p w:rsidR="00AA0919" w:rsidRDefault="006622DF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6622DF" w:rsidRDefault="00F373DE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9A6E0F" w:rsidRDefault="009A6E0F" w:rsidP="009A6E0F">
      <w:pPr>
        <w:pStyle w:val="Standard"/>
        <w:jc w:val="both"/>
        <w:rPr>
          <w:rFonts w:eastAsia="Times New Roman" w:cs="Times New Roman"/>
          <w:bCs/>
          <w:color w:val="auto"/>
          <w:w w:val="100"/>
          <w:kern w:val="0"/>
          <w:sz w:val="28"/>
          <w:lang w:val="ru-RU" w:eastAsia="ru-RU" w:bidi="ar-SA"/>
        </w:rPr>
      </w:pPr>
    </w:p>
    <w:p w:rsidR="009A6E0F" w:rsidRDefault="003E005C" w:rsidP="0028394D">
      <w:pPr>
        <w:pStyle w:val="Standard"/>
        <w:ind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A6E0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9A6E0F">
        <w:rPr>
          <w:sz w:val="28"/>
          <w:szCs w:val="28"/>
          <w:lang w:val="ru-RU"/>
        </w:rPr>
        <w:t xml:space="preserve"> Песчанокопского</w:t>
      </w:r>
    </w:p>
    <w:p w:rsidR="006622DF" w:rsidRDefault="009A6E0F" w:rsidP="009A6E0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 w:rsidRPr="009A6E0F">
        <w:rPr>
          <w:b w:val="0"/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         </w:t>
      </w:r>
      <w:r w:rsidR="003E005C">
        <w:rPr>
          <w:szCs w:val="28"/>
        </w:rPr>
        <w:t xml:space="preserve">   </w:t>
      </w:r>
      <w:r w:rsidR="003E005C">
        <w:rPr>
          <w:b w:val="0"/>
          <w:szCs w:val="28"/>
        </w:rPr>
        <w:t>Ю</w:t>
      </w:r>
      <w:r w:rsidRPr="009A6E0F">
        <w:rPr>
          <w:b w:val="0"/>
          <w:szCs w:val="28"/>
        </w:rPr>
        <w:t>.</w:t>
      </w:r>
      <w:r w:rsidR="003E005C">
        <w:rPr>
          <w:b w:val="0"/>
          <w:szCs w:val="28"/>
        </w:rPr>
        <w:t>Г</w:t>
      </w:r>
      <w:r w:rsidRPr="009A6E0F">
        <w:rPr>
          <w:b w:val="0"/>
          <w:szCs w:val="28"/>
        </w:rPr>
        <w:t xml:space="preserve">. </w:t>
      </w:r>
      <w:r w:rsidR="003E005C">
        <w:rPr>
          <w:b w:val="0"/>
          <w:szCs w:val="28"/>
        </w:rPr>
        <w:t>Алисов</w:t>
      </w:r>
      <w:r>
        <w:rPr>
          <w:szCs w:val="28"/>
        </w:rPr>
        <w:t xml:space="preserve">  </w:t>
      </w:r>
      <w:r w:rsidR="006622DF">
        <w:rPr>
          <w:b w:val="0"/>
        </w:rPr>
        <w:t xml:space="preserve">                              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6622DF" w:rsidRDefault="006622DF" w:rsidP="006622DF">
      <w:pPr>
        <w:pStyle w:val="a3"/>
        <w:tabs>
          <w:tab w:val="left" w:pos="0"/>
        </w:tabs>
        <w:spacing w:after="296" w:line="322" w:lineRule="exact"/>
        <w:ind w:left="-709" w:right="706"/>
        <w:jc w:val="left"/>
        <w:rPr>
          <w:b w:val="0"/>
        </w:rPr>
      </w:pPr>
      <w:r>
        <w:rPr>
          <w:b w:val="0"/>
        </w:rPr>
        <w:t>Инспектор по ГО и ЧС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28394D" w:rsidRDefault="0028394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1B6660" w:rsidRDefault="001B6660" w:rsidP="001B6660">
      <w:pPr>
        <w:tabs>
          <w:tab w:val="left" w:pos="-709"/>
        </w:tabs>
        <w:ind w:left="-709"/>
      </w:pPr>
    </w:p>
    <w:p w:rsidR="00940C33" w:rsidRDefault="00940C33" w:rsidP="001B6660">
      <w:pPr>
        <w:tabs>
          <w:tab w:val="left" w:pos="-709"/>
        </w:tabs>
        <w:ind w:left="-709"/>
      </w:pPr>
    </w:p>
    <w:p w:rsidR="00C02B37" w:rsidRDefault="00C02B37" w:rsidP="007B76BA">
      <w:pPr>
        <w:tabs>
          <w:tab w:val="left" w:pos="-709"/>
        </w:tabs>
      </w:pPr>
    </w:p>
    <w:p w:rsidR="00064EE4" w:rsidRPr="004B4472" w:rsidRDefault="00C66E44" w:rsidP="00C66E44">
      <w:pPr>
        <w:pStyle w:val="a7"/>
      </w:pPr>
      <w:r>
        <w:rPr>
          <w:lang w:eastAsia="ru-RU"/>
        </w:rPr>
        <w:lastRenderedPageBreak/>
        <w:t xml:space="preserve">                                                                                         </w:t>
      </w:r>
      <w:r w:rsidR="00064EE4">
        <w:rPr>
          <w:spacing w:val="-2"/>
          <w:sz w:val="28"/>
          <w:szCs w:val="28"/>
        </w:rPr>
        <w:t xml:space="preserve">              </w:t>
      </w:r>
      <w:r w:rsidR="00064EE4" w:rsidRPr="004B4472">
        <w:rPr>
          <w:bCs/>
          <w:color w:val="000000"/>
          <w:sz w:val="28"/>
          <w:szCs w:val="28"/>
        </w:rPr>
        <w:t xml:space="preserve">Приложение </w:t>
      </w:r>
    </w:p>
    <w:p w:rsidR="00064EE4" w:rsidRDefault="00064EE4" w:rsidP="00064EE4">
      <w:pPr>
        <w:pStyle w:val="a7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7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7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7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</w:t>
      </w:r>
      <w:r w:rsidRPr="004B4472">
        <w:rPr>
          <w:bCs/>
          <w:color w:val="000000"/>
          <w:sz w:val="28"/>
          <w:szCs w:val="28"/>
        </w:rPr>
        <w:t xml:space="preserve">   </w:t>
      </w:r>
      <w:r w:rsidR="003E005C">
        <w:rPr>
          <w:bCs/>
          <w:color w:val="000000"/>
          <w:sz w:val="28"/>
          <w:szCs w:val="28"/>
        </w:rPr>
        <w:t>11</w:t>
      </w:r>
      <w:r w:rsidR="003A2CAC">
        <w:rPr>
          <w:bCs/>
          <w:color w:val="000000"/>
          <w:sz w:val="28"/>
          <w:szCs w:val="28"/>
        </w:rPr>
        <w:t>.</w:t>
      </w:r>
      <w:r w:rsidR="003E005C">
        <w:rPr>
          <w:bCs/>
          <w:color w:val="000000"/>
          <w:sz w:val="28"/>
          <w:szCs w:val="28"/>
        </w:rPr>
        <w:t>11</w:t>
      </w:r>
      <w:r w:rsidR="003A2CAC">
        <w:rPr>
          <w:bCs/>
          <w:color w:val="000000"/>
          <w:sz w:val="28"/>
          <w:szCs w:val="28"/>
        </w:rPr>
        <w:t xml:space="preserve">.2015 № </w:t>
      </w:r>
      <w:r w:rsidR="003E005C">
        <w:rPr>
          <w:bCs/>
          <w:color w:val="000000"/>
          <w:sz w:val="28"/>
          <w:szCs w:val="28"/>
        </w:rPr>
        <w:t>380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7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7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7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обученных специалистов областной подсистемы единой государственной системы </w:t>
            </w:r>
            <w:r>
              <w:rPr>
                <w:bCs/>
                <w:sz w:val="28"/>
                <w:szCs w:val="28"/>
              </w:rPr>
              <w:lastRenderedPageBreak/>
              <w:t>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1F">
              <w:rPr>
                <w:b/>
                <w:sz w:val="28"/>
                <w:szCs w:val="28"/>
              </w:rPr>
              <w:t> </w:t>
            </w:r>
            <w:r w:rsidR="009C4C24">
              <w:rPr>
                <w:b/>
                <w:sz w:val="28"/>
                <w:szCs w:val="28"/>
              </w:rPr>
              <w:t>6</w:t>
            </w:r>
            <w:r w:rsidR="000A751F">
              <w:rPr>
                <w:b/>
                <w:sz w:val="28"/>
                <w:szCs w:val="28"/>
              </w:rPr>
              <w:t>8</w:t>
            </w:r>
            <w:r w:rsidR="009C4C24">
              <w:rPr>
                <w:b/>
                <w:sz w:val="28"/>
                <w:szCs w:val="28"/>
              </w:rPr>
              <w:t>5</w:t>
            </w:r>
            <w:r w:rsidR="000A751F">
              <w:rPr>
                <w:b/>
                <w:sz w:val="28"/>
                <w:szCs w:val="28"/>
              </w:rPr>
              <w:t>,5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9C4C24">
              <w:rPr>
                <w:bCs/>
                <w:sz w:val="28"/>
                <w:szCs w:val="28"/>
              </w:rPr>
              <w:t>210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</w:t>
            </w:r>
            <w:r w:rsidR="000A751F">
              <w:rPr>
                <w:sz w:val="28"/>
                <w:szCs w:val="28"/>
              </w:rPr>
              <w:t>30,5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</w:t>
            </w:r>
            <w:r w:rsidR="000A75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</w:t>
            </w:r>
            <w:r w:rsidR="000A75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</w:t>
            </w:r>
            <w:r w:rsidR="000A7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</w:t>
            </w:r>
            <w:r w:rsidR="000A7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</w:t>
            </w:r>
            <w:r w:rsidR="000A75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993474" w:rsidRPr="00940C33" w:rsidRDefault="00064EE4" w:rsidP="00940C33">
      <w:pPr>
        <w:shd w:val="clear" w:color="auto" w:fill="FFFFFF"/>
        <w:jc w:val="both"/>
      </w:pPr>
      <w:r>
        <w:t xml:space="preserve">   </w:t>
      </w:r>
      <w:r w:rsidR="00940C33">
        <w:t xml:space="preserve">                               </w:t>
      </w: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молниезащиты,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муниципальной программы будет заключаться в снижении масштабов загрязнения природной среды в </w:t>
      </w:r>
      <w:r>
        <w:rPr>
          <w:bCs/>
          <w:sz w:val="28"/>
          <w:szCs w:val="28"/>
        </w:rPr>
        <w:lastRenderedPageBreak/>
        <w:t>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751F">
        <w:rPr>
          <w:b/>
          <w:sz w:val="28"/>
          <w:szCs w:val="28"/>
        </w:rPr>
        <w:t> 685,5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</w:t>
      </w:r>
      <w:r w:rsidR="000A751F">
        <w:rPr>
          <w:bCs/>
          <w:sz w:val="28"/>
          <w:szCs w:val="28"/>
        </w:rPr>
        <w:t>210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</w:t>
      </w:r>
      <w:r w:rsidR="000A751F">
        <w:rPr>
          <w:sz w:val="28"/>
          <w:szCs w:val="28"/>
        </w:rPr>
        <w:t>30,5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</w:t>
      </w:r>
      <w:r w:rsidR="000A751F">
        <w:rPr>
          <w:sz w:val="28"/>
          <w:szCs w:val="28"/>
        </w:rPr>
        <w:t>4</w:t>
      </w:r>
      <w:r>
        <w:rPr>
          <w:sz w:val="28"/>
          <w:szCs w:val="28"/>
        </w:rPr>
        <w:t>0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 – 2</w:t>
      </w:r>
      <w:r w:rsidR="000A751F">
        <w:rPr>
          <w:sz w:val="28"/>
          <w:szCs w:val="28"/>
        </w:rPr>
        <w:t>4</w:t>
      </w:r>
      <w:r>
        <w:rPr>
          <w:sz w:val="28"/>
          <w:szCs w:val="28"/>
        </w:rPr>
        <w:t>5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0A751F">
        <w:rPr>
          <w:sz w:val="28"/>
          <w:szCs w:val="28"/>
        </w:rPr>
        <w:t>5</w:t>
      </w:r>
      <w:r>
        <w:rPr>
          <w:sz w:val="28"/>
          <w:szCs w:val="28"/>
        </w:rPr>
        <w:t>0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0A751F">
        <w:rPr>
          <w:sz w:val="28"/>
          <w:szCs w:val="28"/>
        </w:rPr>
        <w:t>5</w:t>
      </w:r>
      <w:r>
        <w:rPr>
          <w:sz w:val="28"/>
          <w:szCs w:val="28"/>
        </w:rPr>
        <w:t>5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</w:t>
      </w:r>
      <w:r w:rsidR="000A751F">
        <w:rPr>
          <w:sz w:val="28"/>
          <w:szCs w:val="28"/>
        </w:rPr>
        <w:t>6</w:t>
      </w:r>
      <w:r>
        <w:rPr>
          <w:sz w:val="28"/>
          <w:szCs w:val="28"/>
        </w:rPr>
        <w:t>0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Пп =(Пог/Пб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ог</w:t>
      </w:r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Pr="003C6FCE">
              <w:rPr>
                <w:b/>
                <w:sz w:val="28"/>
                <w:szCs w:val="28"/>
              </w:rPr>
              <w:t>1 195,8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183,6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180,3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197,3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158,3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159,3 тыс. 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172,0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Pr="003C6FCE">
        <w:rPr>
          <w:b/>
          <w:sz w:val="28"/>
          <w:szCs w:val="28"/>
        </w:rPr>
        <w:t>1 195,8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180,3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197,3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158,3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159,3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 – 172,0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9C4C24">
              <w:rPr>
                <w:b/>
                <w:sz w:val="28"/>
                <w:szCs w:val="28"/>
              </w:rPr>
              <w:t>439,2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C4C24">
              <w:rPr>
                <w:sz w:val="28"/>
                <w:szCs w:val="28"/>
              </w:rPr>
              <w:t>65</w:t>
            </w:r>
            <w:r w:rsidR="00B7148F">
              <w:rPr>
                <w:sz w:val="28"/>
                <w:szCs w:val="28"/>
              </w:rPr>
              <w:t>,</w:t>
            </w:r>
            <w:r w:rsidR="009C4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–49,7тыс.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940C33" w:rsidRDefault="00064EE4" w:rsidP="00940C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32897">
        <w:rPr>
          <w:b/>
          <w:sz w:val="28"/>
          <w:szCs w:val="28"/>
        </w:rPr>
        <w:t>439</w:t>
      </w:r>
      <w:r w:rsidR="00156B65">
        <w:rPr>
          <w:b/>
          <w:sz w:val="28"/>
          <w:szCs w:val="28"/>
        </w:rPr>
        <w:t>,</w:t>
      </w:r>
      <w:r w:rsidR="00132897">
        <w:rPr>
          <w:b/>
          <w:sz w:val="28"/>
          <w:szCs w:val="28"/>
        </w:rPr>
        <w:t>2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328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32897">
        <w:rPr>
          <w:sz w:val="28"/>
          <w:szCs w:val="28"/>
        </w:rPr>
        <w:t>0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–49,7тыс.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="00B93E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93EF3">
              <w:rPr>
                <w:sz w:val="28"/>
                <w:szCs w:val="28"/>
              </w:rPr>
              <w:t>55,5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32897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>
        <w:rPr>
          <w:color w:val="000000"/>
          <w:sz w:val="28"/>
          <w:szCs w:val="28"/>
        </w:rPr>
        <w:t xml:space="preserve">0,0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13289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540CD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540CD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A751F">
      <w:pPr>
        <w:tabs>
          <w:tab w:val="left" w:pos="-709"/>
        </w:tabs>
        <w:sectPr w:rsidR="00064EE4" w:rsidSect="00940C33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201"/>
        <w:gridCol w:w="3297"/>
        <w:gridCol w:w="1984"/>
        <w:gridCol w:w="817"/>
        <w:gridCol w:w="872"/>
        <w:gridCol w:w="1015"/>
        <w:gridCol w:w="909"/>
        <w:gridCol w:w="904"/>
        <w:gridCol w:w="795"/>
        <w:gridCol w:w="705"/>
        <w:gridCol w:w="795"/>
        <w:gridCol w:w="873"/>
      </w:tblGrid>
      <w:tr w:rsidR="00D616DE" w:rsidTr="00D616DE">
        <w:trPr>
          <w:trHeight w:hRule="exact"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D616DE" w:rsidRDefault="00D616DE" w:rsidP="00CE1A9D"/>
          <w:p w:rsidR="00D616DE" w:rsidRDefault="00D616DE" w:rsidP="00CE1A9D"/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Нестеркинского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D616DE">
        <w:trPr>
          <w:trHeight w:hRule="exact" w:val="14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D616DE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D616DE">
        <w:trPr>
          <w:trHeight w:hRule="exact" w:val="2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0A751F">
            <w:pPr>
              <w:shd w:val="clear" w:color="auto" w:fill="FFFFFF"/>
              <w:jc w:val="center"/>
            </w:pPr>
            <w:r>
              <w:t>1 </w:t>
            </w:r>
            <w:r w:rsidR="00540CDE">
              <w:t>6</w:t>
            </w:r>
            <w:r w:rsidR="000A751F">
              <w:t>8</w:t>
            </w:r>
            <w:r w:rsidR="00540CDE"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210</w:t>
            </w:r>
            <w:r w:rsidR="00D616D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CE1A9D">
            <w:pPr>
              <w:shd w:val="clear" w:color="auto" w:fill="FFFFFF"/>
              <w:jc w:val="center"/>
            </w:pPr>
            <w:r>
              <w:t>230,5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CE1A9D">
            <w:pPr>
              <w:shd w:val="clear" w:color="auto" w:fill="FFFFFF"/>
              <w:jc w:val="center"/>
            </w:pPr>
            <w:r>
              <w:t>24</w:t>
            </w:r>
            <w:r w:rsidR="00D616DE"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24</w:t>
            </w:r>
            <w:r w:rsidR="00D616DE"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25</w:t>
            </w:r>
            <w:r w:rsidR="00D616DE"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25</w:t>
            </w:r>
            <w:r w:rsidR="00D616DE">
              <w:t>5,0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26</w:t>
            </w:r>
            <w:r w:rsidR="00D616DE">
              <w:t>0,0</w:t>
            </w:r>
          </w:p>
        </w:tc>
      </w:tr>
      <w:tr w:rsidR="00D616DE" w:rsidTr="00D616DE">
        <w:trPr>
          <w:trHeight w:hRule="exact" w:val="95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1 195,8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183,6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180,3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197,3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158,3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159,3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172,0</w:t>
            </w:r>
          </w:p>
        </w:tc>
      </w:tr>
      <w:tr w:rsidR="00D616DE" w:rsidTr="00D616DE">
        <w:trPr>
          <w:trHeight w:hRule="exact" w:val="272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14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347,0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</w:tr>
      <w:tr w:rsidR="00D616DE" w:rsidTr="00D616DE">
        <w:trPr>
          <w:trHeight w:hRule="exact" w:val="141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23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Установка указателей у пожарных водоисточников и по направлению движения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D616DE">
        <w:trPr>
          <w:trHeight w:hRule="exact" w:val="2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537,6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76,0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77,0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79,0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80,0</w:t>
            </w:r>
          </w:p>
        </w:tc>
      </w:tr>
      <w:tr w:rsidR="00D616DE" w:rsidTr="00D616DE">
        <w:trPr>
          <w:trHeight w:hRule="exact" w:val="171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D616DE">
        <w:trPr>
          <w:trHeight w:hRule="exact"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439</w:t>
            </w:r>
            <w:r w:rsidR="00D616DE">
              <w:t>,</w:t>
            </w: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540CDE">
            <w:pPr>
              <w:shd w:val="clear" w:color="auto" w:fill="FFFFFF"/>
              <w:jc w:val="center"/>
            </w:pPr>
            <w:r>
              <w:t>65</w:t>
            </w:r>
            <w:r w:rsidR="0067216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D616DE">
        <w:trPr>
          <w:trHeight w:hRule="exact" w:val="3094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321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85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381,1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47,0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75,3</w:t>
            </w:r>
          </w:p>
        </w:tc>
      </w:tr>
      <w:tr w:rsidR="00D616DE" w:rsidTr="00D616DE">
        <w:trPr>
          <w:trHeight w:hRule="exact" w:val="1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электромигафонов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CE1A9D">
        <w:trPr>
          <w:trHeight w:hRule="exact" w:val="11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540CDE" w:rsidTr="000C6E6E">
        <w:trPr>
          <w:gridAfter w:val="11"/>
          <w:wAfter w:w="12966" w:type="dxa"/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</w:tr>
      <w:tr w:rsidR="000C6E6E" w:rsidTr="003E005C">
        <w:trPr>
          <w:trHeight w:hRule="exact"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1.4.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Подпрограмма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</w:tr>
      <w:tr w:rsidR="000C6E6E" w:rsidTr="003E005C">
        <w:trPr>
          <w:trHeight w:hRule="exact" w:val="13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</w:tr>
      <w:tr w:rsidR="000C6E6E" w:rsidTr="003E005C">
        <w:trPr>
          <w:trHeight w:hRule="exact" w:val="7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</w:tr>
      <w:tr w:rsidR="000C6E6E" w:rsidTr="003E005C">
        <w:trPr>
          <w:trHeight w:hRule="exact" w:val="85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0C6E6E">
            <w:pPr>
              <w:shd w:val="clear" w:color="auto" w:fill="FFFFFF"/>
              <w:spacing w:line="298" w:lineRule="exact"/>
            </w:pPr>
            <w:r>
              <w:t>Мероприятие3.1.</w:t>
            </w:r>
            <w:r w:rsidR="00A178ED">
              <w:t>2</w:t>
            </w:r>
            <w:r>
              <w:t xml:space="preserve">.Проведение обследования акватории водных объектов </w:t>
            </w:r>
            <w:r w:rsidR="00A178ED">
              <w:t>водолазами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</w:tr>
    </w:tbl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муниципальнойпрограммы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</w:t>
            </w:r>
            <w:r>
              <w:rPr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lastRenderedPageBreak/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 xml:space="preserve">увеличение масштаба последствий и количества пострадавших при </w:t>
            </w:r>
            <w:r>
              <w:lastRenderedPageBreak/>
              <w:t>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9A4D23" w:rsidRDefault="009A4D23" w:rsidP="003E005C">
      <w:pPr>
        <w:tabs>
          <w:tab w:val="left" w:pos="0"/>
        </w:tabs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2DF"/>
    <w:rsid w:val="00006029"/>
    <w:rsid w:val="00017D03"/>
    <w:rsid w:val="00041C74"/>
    <w:rsid w:val="0005644A"/>
    <w:rsid w:val="00064EE4"/>
    <w:rsid w:val="00073848"/>
    <w:rsid w:val="0008363C"/>
    <w:rsid w:val="000A751F"/>
    <w:rsid w:val="000B2E86"/>
    <w:rsid w:val="000C6E6E"/>
    <w:rsid w:val="00124429"/>
    <w:rsid w:val="00132897"/>
    <w:rsid w:val="00156B65"/>
    <w:rsid w:val="001639A7"/>
    <w:rsid w:val="001B6660"/>
    <w:rsid w:val="001D2D8C"/>
    <w:rsid w:val="002042B6"/>
    <w:rsid w:val="002277F2"/>
    <w:rsid w:val="0028394D"/>
    <w:rsid w:val="00294D0D"/>
    <w:rsid w:val="00311549"/>
    <w:rsid w:val="00350FF6"/>
    <w:rsid w:val="00386B28"/>
    <w:rsid w:val="00395B4B"/>
    <w:rsid w:val="003A2CAC"/>
    <w:rsid w:val="003E005C"/>
    <w:rsid w:val="00437FA2"/>
    <w:rsid w:val="004B6296"/>
    <w:rsid w:val="004C5DA2"/>
    <w:rsid w:val="0050766D"/>
    <w:rsid w:val="00536207"/>
    <w:rsid w:val="00540CDE"/>
    <w:rsid w:val="00635BF8"/>
    <w:rsid w:val="006423AC"/>
    <w:rsid w:val="00642F78"/>
    <w:rsid w:val="006622DF"/>
    <w:rsid w:val="0067216E"/>
    <w:rsid w:val="006D26A1"/>
    <w:rsid w:val="006E7DF3"/>
    <w:rsid w:val="007170BF"/>
    <w:rsid w:val="00761430"/>
    <w:rsid w:val="00784B75"/>
    <w:rsid w:val="007A3AB7"/>
    <w:rsid w:val="007B76BA"/>
    <w:rsid w:val="007D5F14"/>
    <w:rsid w:val="0083539E"/>
    <w:rsid w:val="00841608"/>
    <w:rsid w:val="008517A7"/>
    <w:rsid w:val="0085592B"/>
    <w:rsid w:val="00861A3F"/>
    <w:rsid w:val="00876C72"/>
    <w:rsid w:val="008B1B27"/>
    <w:rsid w:val="008B50F0"/>
    <w:rsid w:val="00940C33"/>
    <w:rsid w:val="00972316"/>
    <w:rsid w:val="00993474"/>
    <w:rsid w:val="009A4D23"/>
    <w:rsid w:val="009A6E0F"/>
    <w:rsid w:val="009C4C24"/>
    <w:rsid w:val="00A178ED"/>
    <w:rsid w:val="00A447CA"/>
    <w:rsid w:val="00AA0919"/>
    <w:rsid w:val="00AB1843"/>
    <w:rsid w:val="00AD30D8"/>
    <w:rsid w:val="00AF7BDC"/>
    <w:rsid w:val="00B56AD1"/>
    <w:rsid w:val="00B65C10"/>
    <w:rsid w:val="00B7148F"/>
    <w:rsid w:val="00B7750D"/>
    <w:rsid w:val="00B93EF3"/>
    <w:rsid w:val="00BE6D89"/>
    <w:rsid w:val="00C02B37"/>
    <w:rsid w:val="00C6027E"/>
    <w:rsid w:val="00C66E44"/>
    <w:rsid w:val="00C75CCA"/>
    <w:rsid w:val="00C92E88"/>
    <w:rsid w:val="00CE1A9D"/>
    <w:rsid w:val="00D616DE"/>
    <w:rsid w:val="00D74D93"/>
    <w:rsid w:val="00D77EB6"/>
    <w:rsid w:val="00D920CD"/>
    <w:rsid w:val="00E4545E"/>
    <w:rsid w:val="00EE0DF9"/>
    <w:rsid w:val="00EF441B"/>
    <w:rsid w:val="00F373DE"/>
    <w:rsid w:val="00F71B7E"/>
    <w:rsid w:val="00F8656C"/>
    <w:rsid w:val="00FA0D5B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2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A6E0F"/>
    <w:rPr>
      <w:sz w:val="28"/>
      <w:szCs w:val="28"/>
      <w:lang w:val="ru-RU"/>
    </w:rPr>
  </w:style>
  <w:style w:type="paragraph" w:customStyle="1" w:styleId="Standard">
    <w:name w:val="Standard"/>
    <w:rsid w:val="009A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EA64-A7C4-4A0D-AC45-06BAF6E6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7508</Words>
  <Characters>42800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2015-11-11T11:03:00Z</cp:lastPrinted>
  <dcterms:created xsi:type="dcterms:W3CDTF">2015-10-28T12:44:00Z</dcterms:created>
  <dcterms:modified xsi:type="dcterms:W3CDTF">2015-11-11T11:15:00Z</dcterms:modified>
</cp:coreProperties>
</file>