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9D5143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C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7C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471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972A0C" w:rsidP="0034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  </w:t>
            </w:r>
            <w:r w:rsidR="003447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первое полугодие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8A20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3447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r w:rsidR="003447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ода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344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первое полугодие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344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C96DC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0BF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B025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сектора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Default="00B02529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47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47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44712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00ACC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0C59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66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 освоено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793,1</w:t>
      </w:r>
      <w:r w:rsidR="00F0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66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66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661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00ACC" w:rsidP="0066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Песчанокопское, ул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уворова,2е»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выполнении основных мероприятий, контрольных событий муниципальной программы за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полугодие 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на реализацию муниципальной программы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46 642,4</w:t>
      </w:r>
      <w:r w:rsidRPr="005656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общественного пространства по адресу: Ростовская область, </w:t>
      </w:r>
      <w:proofErr w:type="spell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  <w:proofErr w:type="spell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428B2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1. «Благоустройство общественных территорий   Песчанокопского сельского поселения» на 2018-2022годы предусмотрена реализация 1 основного мероприятия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факту </w:t>
      </w:r>
      <w:r w:rsidR="00C26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46 642,4</w:t>
      </w:r>
      <w:r w:rsidR="007D2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100AC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ACC" w:rsidRPr="001428B2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46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0,0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рублей</w:t>
      </w:r>
      <w:r w:rsidR="00836E67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13C" w:rsidRPr="001428B2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1.1.«Благоустройство общественного пространства по адресу: Ростовская область, с.</w:t>
      </w:r>
      <w:r w:rsidR="0075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Песчанокопское, ул.</w:t>
      </w:r>
      <w:r w:rsidR="00757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Суворова,2е»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95EA4" w:rsidRPr="001428B2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</w:t>
      </w:r>
      <w:r w:rsidR="0019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9D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полугодие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 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</w:t>
      </w:r>
      <w:proofErr w:type="gramStart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</w:t>
      </w:r>
      <w:proofErr w:type="gramEnd"/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 полугодие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5680F">
        <w:rPr>
          <w:rFonts w:ascii="Times New Roman" w:eastAsia="Calibri" w:hAnsi="Times New Roman" w:cs="Times New Roman"/>
          <w:sz w:val="28"/>
          <w:szCs w:val="28"/>
        </w:rPr>
        <w:t>6 м</w:t>
      </w:r>
      <w:r w:rsidR="001479FC">
        <w:rPr>
          <w:rFonts w:ascii="Times New Roman" w:eastAsia="Calibri" w:hAnsi="Times New Roman" w:cs="Times New Roman"/>
          <w:sz w:val="28"/>
          <w:szCs w:val="28"/>
        </w:rPr>
        <w:t>есяцев</w:t>
      </w:r>
      <w:r w:rsidR="00351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</w:t>
      </w:r>
      <w:r w:rsidR="00A5680F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Песчанокопское, ул.</w:t>
      </w:r>
      <w:r w:rsidR="0008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5680F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4C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5680F">
        <w:rPr>
          <w:rFonts w:ascii="Times New Roman" w:eastAsia="Calibri" w:hAnsi="Times New Roman" w:cs="Times New Roman"/>
          <w:sz w:val="28"/>
          <w:szCs w:val="28"/>
        </w:rPr>
        <w:t>1</w:t>
      </w:r>
      <w:r w:rsidR="00D46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965BA5">
        <w:rPr>
          <w:rFonts w:ascii="Times New Roman" w:eastAsia="Calibri" w:hAnsi="Times New Roman" w:cs="Times New Roman"/>
          <w:sz w:val="28"/>
          <w:szCs w:val="28"/>
        </w:rPr>
        <w:t>первого полугодия</w:t>
      </w:r>
      <w:r w:rsidR="00C57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</w:t>
      </w:r>
      <w:r w:rsidR="00965BA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  <w:r w:rsidR="006610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BF51A4" w:rsidRDefault="00431E52" w:rsidP="00BF51A4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B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7E69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5B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5B46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5BA5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431E52" w:rsidRPr="00431E52" w:rsidRDefault="00885841" w:rsidP="00885841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5F313C" w:rsidRDefault="005F313C" w:rsidP="005F313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65B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первое полугодие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1479FC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ул.Суворова,2е»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83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1479FC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773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</w:p>
    <w:p w:rsidR="00E76D2E" w:rsidRPr="00E76D2E" w:rsidRDefault="00513773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76D2E"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6F1E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79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65B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первое полугодие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614EF1">
        <w:trPr>
          <w:trHeight w:val="1275"/>
          <w:tblCellSpacing w:w="5" w:type="nil"/>
        </w:trPr>
        <w:tc>
          <w:tcPr>
            <w:tcW w:w="153" w:type="pct"/>
            <w:vMerge w:val="restart"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</w:tcPr>
          <w:p w:rsidR="00614EF1" w:rsidRPr="00AD0096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Благоустройство общественного пространства по адресу: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ул.Суворова,2е» </w:t>
            </w: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14EF1" w:rsidRPr="00E76D2E" w:rsidRDefault="00614EF1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614EF1" w:rsidRPr="00E76D2E" w:rsidRDefault="00614EF1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</w:tcPr>
          <w:p w:rsidR="00614EF1" w:rsidRPr="00E76D2E" w:rsidRDefault="00614EF1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DB38BD">
        <w:trPr>
          <w:trHeight w:val="1194"/>
          <w:tblCellSpacing w:w="5" w:type="nil"/>
        </w:trPr>
        <w:tc>
          <w:tcPr>
            <w:tcW w:w="153" w:type="pct"/>
            <w:vMerge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84" w:type="pct"/>
            <w:vMerge/>
          </w:tcPr>
          <w:p w:rsidR="00614EF1" w:rsidRDefault="00614EF1" w:rsidP="0006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7955CC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614EF1" w:rsidRPr="00E76D2E" w:rsidRDefault="007955CC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614EF1" w:rsidRPr="00E76D2E" w:rsidRDefault="007955CC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614EF1" w:rsidRDefault="007955CC" w:rsidP="007955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4" w:type="pct"/>
          </w:tcPr>
          <w:p w:rsidR="00614EF1" w:rsidRDefault="007955CC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</w:p>
        </w:tc>
        <w:tc>
          <w:tcPr>
            <w:tcW w:w="684" w:type="pct"/>
          </w:tcPr>
          <w:p w:rsidR="00614EF1" w:rsidRPr="00E76D2E" w:rsidRDefault="007955CC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163FA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="003326F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- е полугодие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3326F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</w:t>
            </w:r>
            <w:r w:rsidR="0037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810712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B503A4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(выполнение СМР)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757980" w:rsidRDefault="00965BA5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46642,1</w:t>
            </w:r>
          </w:p>
        </w:tc>
        <w:tc>
          <w:tcPr>
            <w:tcW w:w="931" w:type="pct"/>
          </w:tcPr>
          <w:p w:rsidR="00E76D2E" w:rsidRPr="00757980" w:rsidRDefault="00965BA5" w:rsidP="0016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46642,1</w:t>
            </w:r>
          </w:p>
        </w:tc>
        <w:tc>
          <w:tcPr>
            <w:tcW w:w="930" w:type="pct"/>
          </w:tcPr>
          <w:p w:rsidR="00E76D2E" w:rsidRPr="00757980" w:rsidRDefault="00965BA5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793,1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931" w:type="pct"/>
          </w:tcPr>
          <w:p w:rsidR="00E76D2E" w:rsidRPr="00E76D2E" w:rsidRDefault="00965BA5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930" w:type="pct"/>
          </w:tcPr>
          <w:p w:rsidR="00E76D2E" w:rsidRPr="00E76D2E" w:rsidRDefault="00965BA5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14AF" w:rsidRPr="00E76D2E" w:rsidTr="00EC3DA6">
        <w:trPr>
          <w:trHeight w:val="574"/>
        </w:trPr>
        <w:tc>
          <w:tcPr>
            <w:tcW w:w="1277" w:type="pct"/>
            <w:vMerge/>
          </w:tcPr>
          <w:p w:rsidR="000C14AF" w:rsidRPr="00E76D2E" w:rsidRDefault="000C14A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C14AF" w:rsidRPr="00E76D2E" w:rsidRDefault="000C14AF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0C14AF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44873,1</w:t>
            </w:r>
          </w:p>
        </w:tc>
        <w:tc>
          <w:tcPr>
            <w:tcW w:w="931" w:type="pct"/>
          </w:tcPr>
          <w:p w:rsidR="000C14AF" w:rsidRDefault="00965BA5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44873,1</w:t>
            </w:r>
          </w:p>
        </w:tc>
        <w:tc>
          <w:tcPr>
            <w:tcW w:w="930" w:type="pct"/>
          </w:tcPr>
          <w:p w:rsidR="000C14AF" w:rsidRDefault="00965BA5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931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930" w:type="pct"/>
          </w:tcPr>
          <w:p w:rsidR="00E76D2E" w:rsidRPr="00E76D2E" w:rsidRDefault="00965BA5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2984" w:rsidRPr="00E76D2E" w:rsidTr="00EC3DA6">
        <w:trPr>
          <w:trHeight w:val="862"/>
        </w:trPr>
        <w:tc>
          <w:tcPr>
            <w:tcW w:w="1277" w:type="pct"/>
          </w:tcPr>
          <w:p w:rsidR="00662984" w:rsidRDefault="00662984" w:rsidP="006629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662984" w:rsidRPr="00E76D2E" w:rsidRDefault="00662984" w:rsidP="0066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(строй контроль)</w:t>
            </w:r>
          </w:p>
        </w:tc>
        <w:tc>
          <w:tcPr>
            <w:tcW w:w="955" w:type="pct"/>
          </w:tcPr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662984" w:rsidRDefault="003326F7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662984" w:rsidRDefault="003326F7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0" w:type="pct"/>
          </w:tcPr>
          <w:p w:rsidR="00662984" w:rsidRDefault="00965BA5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 w:val="restart"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810712" w:rsidRPr="00E76D2E" w:rsidRDefault="00810712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429"/>
        </w:trPr>
        <w:tc>
          <w:tcPr>
            <w:tcW w:w="1277" w:type="pct"/>
            <w:vMerge/>
          </w:tcPr>
          <w:p w:rsidR="00810712" w:rsidRDefault="00810712" w:rsidP="00FB189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574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FB1899">
        <w:trPr>
          <w:trHeight w:val="862"/>
        </w:trPr>
        <w:tc>
          <w:tcPr>
            <w:tcW w:w="1277" w:type="pct"/>
            <w:vMerge/>
          </w:tcPr>
          <w:p w:rsidR="00810712" w:rsidRPr="00E76D2E" w:rsidRDefault="00810712" w:rsidP="00FB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FB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FB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6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5C1A83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965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965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CD309F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27221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за </w:t>
      </w:r>
      <w:r w:rsidR="00965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первое полугодие 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503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00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</w:t>
            </w:r>
            <w:r w:rsidR="00E1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2B777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2350C"/>
    <w:rsid w:val="0005602C"/>
    <w:rsid w:val="00073B14"/>
    <w:rsid w:val="00077134"/>
    <w:rsid w:val="00082835"/>
    <w:rsid w:val="000B50C3"/>
    <w:rsid w:val="000B7AF3"/>
    <w:rsid w:val="000C14AF"/>
    <w:rsid w:val="000D4CA6"/>
    <w:rsid w:val="000D77E6"/>
    <w:rsid w:val="00100ACC"/>
    <w:rsid w:val="00106926"/>
    <w:rsid w:val="001317FE"/>
    <w:rsid w:val="001428B2"/>
    <w:rsid w:val="001479FC"/>
    <w:rsid w:val="00163FA8"/>
    <w:rsid w:val="00195EA4"/>
    <w:rsid w:val="001B05DD"/>
    <w:rsid w:val="001C002B"/>
    <w:rsid w:val="001E180A"/>
    <w:rsid w:val="00215E0C"/>
    <w:rsid w:val="00216F55"/>
    <w:rsid w:val="0022583C"/>
    <w:rsid w:val="00272215"/>
    <w:rsid w:val="00272838"/>
    <w:rsid w:val="002B777F"/>
    <w:rsid w:val="003326F7"/>
    <w:rsid w:val="00344712"/>
    <w:rsid w:val="00351FCE"/>
    <w:rsid w:val="003742D5"/>
    <w:rsid w:val="0039497D"/>
    <w:rsid w:val="003966D4"/>
    <w:rsid w:val="00401C9F"/>
    <w:rsid w:val="00402893"/>
    <w:rsid w:val="0040713A"/>
    <w:rsid w:val="00431E52"/>
    <w:rsid w:val="004414DD"/>
    <w:rsid w:val="004757C8"/>
    <w:rsid w:val="00481155"/>
    <w:rsid w:val="00482C65"/>
    <w:rsid w:val="00492DEC"/>
    <w:rsid w:val="004D2E00"/>
    <w:rsid w:val="004D7A10"/>
    <w:rsid w:val="00513773"/>
    <w:rsid w:val="0054536F"/>
    <w:rsid w:val="00554875"/>
    <w:rsid w:val="0056564C"/>
    <w:rsid w:val="00567D62"/>
    <w:rsid w:val="0057500C"/>
    <w:rsid w:val="005A0B03"/>
    <w:rsid w:val="005C1A83"/>
    <w:rsid w:val="005F313C"/>
    <w:rsid w:val="006058FF"/>
    <w:rsid w:val="00606950"/>
    <w:rsid w:val="00614EF1"/>
    <w:rsid w:val="00627C7C"/>
    <w:rsid w:val="00661006"/>
    <w:rsid w:val="00662733"/>
    <w:rsid w:val="00662984"/>
    <w:rsid w:val="00672994"/>
    <w:rsid w:val="00680C59"/>
    <w:rsid w:val="006C25B1"/>
    <w:rsid w:val="006D4C21"/>
    <w:rsid w:val="006F1E8E"/>
    <w:rsid w:val="00721114"/>
    <w:rsid w:val="007250F7"/>
    <w:rsid w:val="007340EF"/>
    <w:rsid w:val="007448FF"/>
    <w:rsid w:val="00757980"/>
    <w:rsid w:val="007955CC"/>
    <w:rsid w:val="007A073A"/>
    <w:rsid w:val="007A2767"/>
    <w:rsid w:val="007D230E"/>
    <w:rsid w:val="007E7D26"/>
    <w:rsid w:val="008023B6"/>
    <w:rsid w:val="0080674D"/>
    <w:rsid w:val="00810712"/>
    <w:rsid w:val="008364AB"/>
    <w:rsid w:val="00836E67"/>
    <w:rsid w:val="00880197"/>
    <w:rsid w:val="00885841"/>
    <w:rsid w:val="008A20BF"/>
    <w:rsid w:val="008B2D80"/>
    <w:rsid w:val="008E13DB"/>
    <w:rsid w:val="008E6F62"/>
    <w:rsid w:val="00901EB7"/>
    <w:rsid w:val="009212EB"/>
    <w:rsid w:val="009220FF"/>
    <w:rsid w:val="00923C28"/>
    <w:rsid w:val="00955B46"/>
    <w:rsid w:val="00964EC3"/>
    <w:rsid w:val="00965BA5"/>
    <w:rsid w:val="00972A0C"/>
    <w:rsid w:val="00992E32"/>
    <w:rsid w:val="009A7990"/>
    <w:rsid w:val="009A7E94"/>
    <w:rsid w:val="009C15E3"/>
    <w:rsid w:val="009C3E7D"/>
    <w:rsid w:val="009D5143"/>
    <w:rsid w:val="009D68CC"/>
    <w:rsid w:val="00A050AC"/>
    <w:rsid w:val="00A421AA"/>
    <w:rsid w:val="00A52693"/>
    <w:rsid w:val="00A5680F"/>
    <w:rsid w:val="00AD0096"/>
    <w:rsid w:val="00AD36B7"/>
    <w:rsid w:val="00AF78A9"/>
    <w:rsid w:val="00B00885"/>
    <w:rsid w:val="00B02529"/>
    <w:rsid w:val="00B103F8"/>
    <w:rsid w:val="00B43796"/>
    <w:rsid w:val="00B503A4"/>
    <w:rsid w:val="00B7288A"/>
    <w:rsid w:val="00B81D65"/>
    <w:rsid w:val="00BB61C2"/>
    <w:rsid w:val="00BF51A4"/>
    <w:rsid w:val="00C1013E"/>
    <w:rsid w:val="00C26093"/>
    <w:rsid w:val="00C57BB9"/>
    <w:rsid w:val="00C821E8"/>
    <w:rsid w:val="00C96DC9"/>
    <w:rsid w:val="00CB19E6"/>
    <w:rsid w:val="00CD309F"/>
    <w:rsid w:val="00CE162A"/>
    <w:rsid w:val="00D0313A"/>
    <w:rsid w:val="00D37ED9"/>
    <w:rsid w:val="00D464C6"/>
    <w:rsid w:val="00D76C32"/>
    <w:rsid w:val="00D84198"/>
    <w:rsid w:val="00D92399"/>
    <w:rsid w:val="00D95DEE"/>
    <w:rsid w:val="00DB353E"/>
    <w:rsid w:val="00DB38BD"/>
    <w:rsid w:val="00DD5BFA"/>
    <w:rsid w:val="00DE78C3"/>
    <w:rsid w:val="00DF7F14"/>
    <w:rsid w:val="00E03EA7"/>
    <w:rsid w:val="00E139D5"/>
    <w:rsid w:val="00E56C17"/>
    <w:rsid w:val="00E76D2E"/>
    <w:rsid w:val="00EC3DA6"/>
    <w:rsid w:val="00F0596C"/>
    <w:rsid w:val="00F135DE"/>
    <w:rsid w:val="00F2285A"/>
    <w:rsid w:val="00F26FEF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E633-B48E-485A-B39B-A5E01E58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134</cp:revision>
  <cp:lastPrinted>2021-07-22T11:43:00Z</cp:lastPrinted>
  <dcterms:created xsi:type="dcterms:W3CDTF">2015-06-10T12:22:00Z</dcterms:created>
  <dcterms:modified xsi:type="dcterms:W3CDTF">2021-07-22T11:45:00Z</dcterms:modified>
</cp:coreProperties>
</file>